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rFonts w:ascii="Calibri" w:cs="Calibri" w:eastAsia="Calibri" w:hAnsi="Calibri"/>
          <w:b w:val="1"/>
          <w:bCs w:val="1"/>
          <w:sz w:val="32"/>
          <w:szCs w:val="32"/>
        </w:rPr>
      </w:pPr>
      <w:bookmarkStart w:colFirst="0" w:colLast="0" w:name="_3dx2o01wvykm" w:id="0"/>
      <w:bookmarkEnd w:id="0"/>
      <w:r w:rsidDel="00000000" w:rsidR="00000000" w:rsidRPr="00000000">
        <w:rPr>
          <w:rFonts w:ascii="Calibri" w:cs="Calibri" w:eastAsia="Calibri" w:hAnsi="Calibri"/>
          <w:b w:val="1"/>
          <w:bCs w:val="1"/>
          <w:sz w:val="32"/>
          <w:szCs w:val="32"/>
          <w:rtl w:val="0"/>
        </w:rPr>
        <w:t xml:space="preserve">CHARLOTTE ADIGÉRY &amp; BOLIS PUPUL DEVOILENT LEUR PREMIER SINGLE DEPUIS 4 ANS, “GOOGOO GAGA”</w:t>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numPr>
          <w:ilvl w:val="0"/>
          <w:numId w:val="1"/>
        </w:numPr>
        <w:ind w:left="720" w:hanging="360"/>
        <w:jc w:val="center"/>
        <w:rPr>
          <w:u w:val="none"/>
        </w:rPr>
      </w:pPr>
      <w:r w:rsidDel="00000000" w:rsidR="00000000" w:rsidRPr="00000000">
        <w:rPr>
          <w:rFonts w:ascii="Calibri" w:cs="Calibri" w:eastAsia="Calibri" w:hAnsi="Calibri"/>
          <w:b w:val="1"/>
          <w:bCs w:val="1"/>
          <w:sz w:val="30"/>
          <w:szCs w:val="30"/>
          <w:rtl w:val="0"/>
        </w:rPr>
        <w:t xml:space="preserve">NOUVEAU CLIP RÉALISÉ PAR LENNERT MADOU</w:t>
      </w:r>
      <w:r w:rsidDel="00000000" w:rsidR="00000000" w:rsidRPr="00000000">
        <w:rPr>
          <w:rtl w:val="0"/>
        </w:rPr>
      </w:r>
    </w:p>
    <w:p w:rsidR="00000000" w:rsidDel="00000000" w:rsidP="00000000" w:rsidRDefault="00000000" w:rsidRPr="00000000" w14:paraId="00000004">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ECOUTER </w:t>
      </w:r>
      <w:hyperlink r:id="rId6">
        <w:r w:rsidDel="00000000" w:rsidR="00000000" w:rsidRPr="00000000">
          <w:rPr>
            <w:rFonts w:ascii="Calibri" w:cs="Calibri" w:eastAsia="Calibri" w:hAnsi="Calibri"/>
            <w:b w:val="1"/>
            <w:bCs w:val="1"/>
            <w:color w:val="1155cc"/>
            <w:sz w:val="28"/>
            <w:szCs w:val="28"/>
            <w:u w:val="single"/>
            <w:rtl w:val="0"/>
          </w:rPr>
          <w:t xml:space="preserve">ICI</w:t>
        </w:r>
      </w:hyperlink>
      <w:r w:rsidDel="00000000" w:rsidR="00000000" w:rsidRPr="00000000">
        <w:rPr>
          <w:rFonts w:ascii="Calibri" w:cs="Calibri" w:eastAsia="Calibri" w:hAnsi="Calibri"/>
          <w:b w:val="1"/>
          <w:bCs w:val="1"/>
          <w:sz w:val="28"/>
          <w:szCs w:val="28"/>
          <w:rtl w:val="0"/>
        </w:rPr>
        <w:t xml:space="preserve"> </w:t>
      </w:r>
    </w:p>
    <w:p w:rsidR="00000000" w:rsidDel="00000000" w:rsidP="00000000" w:rsidRDefault="00000000" w:rsidRPr="00000000" w14:paraId="00000006">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REGARDER </w:t>
      </w:r>
      <w:hyperlink r:id="rId7">
        <w:r w:rsidDel="00000000" w:rsidR="00000000" w:rsidRPr="00000000">
          <w:rPr>
            <w:rFonts w:ascii="Calibri" w:cs="Calibri" w:eastAsia="Calibri" w:hAnsi="Calibri"/>
            <w:b w:val="1"/>
            <w:bCs w:val="1"/>
            <w:color w:val="1155cc"/>
            <w:sz w:val="28"/>
            <w:szCs w:val="28"/>
            <w:u w:val="single"/>
            <w:rtl w:val="0"/>
          </w:rPr>
          <w:t xml:space="preserve">ICI</w:t>
        </w:r>
      </w:hyperlink>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jc w:val="both"/>
        <w:rPr>
          <w:rFonts w:ascii="Calibri" w:cs="Calibri" w:eastAsia="Calibri" w:hAnsi="Calibri"/>
          <w:b w:val="1"/>
          <w:bCs w:val="1"/>
          <w:i w:val="1"/>
          <w:iCs w:val="1"/>
          <w:color w:val="000000"/>
          <w:sz w:val="24"/>
          <w:szCs w:val="24"/>
        </w:rPr>
      </w:pPr>
      <w:bookmarkStart w:colFirst="0" w:colLast="0" w:name="_4ndaxdn22rw0" w:id="1"/>
      <w:bookmarkEnd w:id="1"/>
      <w:r w:rsidDel="00000000" w:rsidR="00000000" w:rsidRPr="00000000">
        <w:rPr>
          <w:rFonts w:ascii="Roboto" w:cs="Roboto" w:eastAsia="Roboto" w:hAnsi="Roboto"/>
          <w:b w:val="1"/>
          <w:bCs w:val="1"/>
          <w:i w:val="1"/>
          <w:iCs w:val="1"/>
          <w:color w:val="0b0b0b"/>
          <w:sz w:val="23"/>
          <w:szCs w:val="23"/>
          <w:rtl w:val="0"/>
        </w:rPr>
        <w:t xml:space="preserve">Un portrait incisif et tendre de la maternité, du soin et du travail invisible d'élever un enfant, raconté à travers le conte populaire flamand, De Mammelokker.</w:t>
      </w:r>
      <w:r w:rsidDel="00000000" w:rsidR="00000000" w:rsidRPr="00000000">
        <w:rPr>
          <w:rtl w:val="0"/>
        </w:rPr>
      </w:r>
    </w:p>
    <w:p w:rsidR="00000000" w:rsidDel="00000000" w:rsidP="00000000" w:rsidRDefault="00000000" w:rsidRPr="00000000" w14:paraId="00000008">
      <w:pPr>
        <w:spacing w:after="240" w:befor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[16 Septembre / Disponible via DEEWEE / Because Music]</w:t>
        <w:br w:type="textWrapping"/>
        <w:br w:type="textWrapping"/>
      </w:r>
      <w:r w:rsidDel="00000000" w:rsidR="00000000" w:rsidRPr="00000000">
        <w:rPr>
          <w:rFonts w:ascii="Calibri" w:cs="Calibri" w:eastAsia="Calibri" w:hAnsi="Calibri"/>
          <w:b w:val="1"/>
          <w:bCs w:val="1"/>
        </w:rPr>
        <w:drawing>
          <wp:inline distB="114300" distT="114300" distL="114300" distR="114300">
            <wp:extent cx="5943600" cy="5943600"/>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240" w:before="240" w:lineRule="auto"/>
        <w:jc w:val="center"/>
        <w:rPr>
          <w:rFonts w:ascii="Calibri" w:cs="Calibri" w:eastAsia="Calibri" w:hAnsi="Calibri"/>
        </w:rPr>
      </w:pPr>
      <w:r w:rsidDel="00000000" w:rsidR="00000000" w:rsidRPr="00000000">
        <w:rPr>
          <w:rFonts w:ascii="Calibri" w:cs="Calibri" w:eastAsia="Calibri" w:hAnsi="Calibri"/>
          <w:rtl w:val="0"/>
        </w:rPr>
        <w:t xml:space="preserve">(Credit: Paul Kooiker)</w:t>
      </w:r>
    </w:p>
    <w:p w:rsidR="00000000" w:rsidDel="00000000" w:rsidP="00000000" w:rsidRDefault="00000000" w:rsidRPr="00000000" w14:paraId="0000000A">
      <w:pPr>
        <w:jc w:val="both"/>
        <w:rPr>
          <w:rFonts w:ascii="Calibri" w:cs="Calibri" w:eastAsia="Calibri" w:hAnsi="Calibri"/>
        </w:rPr>
      </w:pPr>
      <w:r w:rsidDel="00000000" w:rsidR="00000000" w:rsidRPr="00000000">
        <w:rPr>
          <w:rFonts w:ascii="Calibri" w:cs="Calibri" w:eastAsia="Calibri" w:hAnsi="Calibri"/>
          <w:rtl w:val="0"/>
        </w:rPr>
        <w:t xml:space="preserve">Charlotte </w:t>
      </w:r>
      <w:r w:rsidDel="00000000" w:rsidR="00000000" w:rsidRPr="00000000">
        <w:rPr>
          <w:rFonts w:ascii="Calibri" w:cs="Calibri" w:eastAsia="Calibri" w:hAnsi="Calibri"/>
          <w:rtl w:val="0"/>
        </w:rPr>
        <w:t xml:space="preserve">Adigéry</w:t>
      </w:r>
      <w:r w:rsidDel="00000000" w:rsidR="00000000" w:rsidRPr="00000000">
        <w:rPr>
          <w:rFonts w:ascii="Calibri" w:cs="Calibri" w:eastAsia="Calibri" w:hAnsi="Calibri"/>
          <w:rtl w:val="0"/>
        </w:rPr>
        <w:t xml:space="preserve"> &amp; Bolis Pupul dévoilent </w:t>
      </w:r>
      <w:r w:rsidDel="00000000" w:rsidR="00000000" w:rsidRPr="00000000">
        <w:rPr>
          <w:rFonts w:ascii="Calibri" w:cs="Calibri" w:eastAsia="Calibri" w:hAnsi="Calibri"/>
          <w:rtl w:val="0"/>
        </w:rPr>
        <w:t xml:space="preserve">aujourd'hui « </w:t>
      </w:r>
      <w:r w:rsidDel="00000000" w:rsidR="00000000" w:rsidRPr="00000000">
        <w:rPr>
          <w:rFonts w:ascii="Calibri" w:cs="Calibri" w:eastAsia="Calibri" w:hAnsi="Calibri"/>
          <w:b w:val="1"/>
          <w:bCs w:val="1"/>
          <w:rtl w:val="0"/>
        </w:rPr>
        <w:t xml:space="preserve">GOOGOO</w:t>
      </w:r>
      <w:r w:rsidDel="00000000" w:rsidR="00000000" w:rsidRPr="00000000">
        <w:rPr>
          <w:rFonts w:ascii="Calibri" w:cs="Calibri" w:eastAsia="Calibri" w:hAnsi="Calibri"/>
          <w:b w:val="1"/>
          <w:bCs w:val="1"/>
          <w:rtl w:val="0"/>
        </w:rPr>
        <w:t xml:space="preserve"> GAGA</w:t>
      </w:r>
      <w:r w:rsidDel="00000000" w:rsidR="00000000" w:rsidRPr="00000000">
        <w:rPr>
          <w:rFonts w:ascii="Calibri" w:cs="Calibri" w:eastAsia="Calibri" w:hAnsi="Calibri"/>
          <w:rtl w:val="0"/>
        </w:rPr>
        <w:t xml:space="preserve"> », un nouveau single accompagné d'un clip cinématographique et artistique construit autour d'un tableau vivant.</w:t>
      </w:r>
    </w:p>
    <w:p w:rsidR="00000000" w:rsidDel="00000000" w:rsidP="00000000" w:rsidRDefault="00000000" w:rsidRPr="00000000" w14:paraId="0000000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jc w:val="both"/>
        <w:rPr>
          <w:rFonts w:ascii="Calibri" w:cs="Calibri" w:eastAsia="Calibri" w:hAnsi="Calibri"/>
        </w:rPr>
      </w:pPr>
      <w:r w:rsidDel="00000000" w:rsidR="00000000" w:rsidRPr="00000000">
        <w:rPr>
          <w:rFonts w:ascii="Calibri" w:cs="Calibri" w:eastAsia="Calibri" w:hAnsi="Calibri"/>
          <w:rtl w:val="0"/>
        </w:rPr>
        <w:t xml:space="preserve">Méditation joueuse sur la maternité, « GOOGOO GAGA » donne voix, à travers </w:t>
      </w:r>
      <w:r w:rsidDel="00000000" w:rsidR="00000000" w:rsidRPr="00000000">
        <w:rPr>
          <w:rFonts w:ascii="Calibri" w:cs="Calibri" w:eastAsia="Calibri" w:hAnsi="Calibri"/>
          <w:rtl w:val="0"/>
        </w:rPr>
        <w:t xml:space="preserve">Adigéry</w:t>
      </w:r>
      <w:r w:rsidDel="00000000" w:rsidR="00000000" w:rsidRPr="00000000">
        <w:rPr>
          <w:rFonts w:ascii="Calibri" w:cs="Calibri" w:eastAsia="Calibri" w:hAnsi="Calibri"/>
          <w:rtl w:val="0"/>
        </w:rPr>
        <w:t xml:space="preserve">, aux rythmes incessants du soin porté à un jeune enfant : nourrir et porter, pleurer et dormir, le désordre et la répétition, la culpabilité et l'incertitude. Sur la production électronique bouillonnante de Pupul (coproduite par les légendaires Soulwax, David &amp; Stephen Dewaele), les détails infimes des débuts de la parentalité s'accumulent jusqu'à devenir quelque chose de drôle, de tendu et profondément humain.</w:t>
      </w:r>
    </w:p>
    <w:p w:rsidR="00000000" w:rsidDel="00000000" w:rsidP="00000000" w:rsidRDefault="00000000" w:rsidRPr="00000000" w14:paraId="0000000D">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jc w:val="both"/>
        <w:rPr>
          <w:rFonts w:ascii="Calibri" w:cs="Calibri" w:eastAsia="Calibri" w:hAnsi="Calibri"/>
        </w:rPr>
      </w:pPr>
      <w:r w:rsidDel="00000000" w:rsidR="00000000" w:rsidRPr="00000000">
        <w:rPr>
          <w:rFonts w:ascii="Calibri" w:cs="Calibri" w:eastAsia="Calibri" w:hAnsi="Calibri"/>
          <w:rtl w:val="0"/>
        </w:rPr>
        <w:t xml:space="preserve">Au cœur de cette chanson se déploie le travail largement invisible de la parentalité et de la maternité : les innombrables petits gestes de soin, aux côtés des questions bien plus vastes qui les accompagnent. Comment protéger un enfant sans laisser la peur dicter sa vie ? Comment apprendre à être parent alors qu'on l'est déjà ? Et que devient l'idée qu'il faut « tout un village » pour élever un enfant, quand une si grande part de cette responsabilité continue d'être vécue seul·e ?</w:t>
      </w:r>
    </w:p>
    <w:p w:rsidR="00000000" w:rsidDel="00000000" w:rsidP="00000000" w:rsidRDefault="00000000" w:rsidRPr="00000000" w14:paraId="0000000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jc w:val="both"/>
        <w:rPr>
          <w:rFonts w:ascii="Calibri" w:cs="Calibri" w:eastAsia="Calibri" w:hAnsi="Calibri"/>
          <w:i w:val="1"/>
          <w:iCs w:val="1"/>
        </w:rPr>
      </w:pPr>
      <w:r w:rsidDel="00000000" w:rsidR="00000000" w:rsidRPr="00000000">
        <w:rPr>
          <w:rFonts w:ascii="Calibri" w:cs="Calibri" w:eastAsia="Calibri" w:hAnsi="Calibri"/>
          <w:rtl w:val="0"/>
        </w:rPr>
        <w:t xml:space="preserve">Adigéry &amp; Pupul reviennent sur ce nouveau single : « "</w:t>
      </w:r>
      <w:r w:rsidDel="00000000" w:rsidR="00000000" w:rsidRPr="00000000">
        <w:rPr>
          <w:rFonts w:ascii="Calibri" w:cs="Calibri" w:eastAsia="Calibri" w:hAnsi="Calibri"/>
          <w:i w:val="1"/>
          <w:iCs w:val="1"/>
          <w:rtl w:val="0"/>
        </w:rPr>
        <w:t xml:space="preserve">It tales a village, and yet you’re doing it alone</w:t>
      </w:r>
      <w:r w:rsidDel="00000000" w:rsidR="00000000" w:rsidRPr="00000000">
        <w:rPr>
          <w:rFonts w:ascii="Calibri" w:cs="Calibri" w:eastAsia="Calibri" w:hAnsi="Calibri"/>
          <w:rtl w:val="0"/>
        </w:rPr>
        <w:t xml:space="preserve">". Ce disque est né alors que nous devenions tous deux parents : "Googoo Gaga" parle de l'épuisement, du sacrifice de soi, du débordement, et pourtant de l'acceptation de tout cela. »</w:t>
      </w:r>
      <w:r w:rsidDel="00000000" w:rsidR="00000000" w:rsidRPr="00000000">
        <w:rPr>
          <w:rtl w:val="0"/>
        </w:rPr>
      </w:r>
    </w:p>
    <w:p w:rsidR="00000000" w:rsidDel="00000000" w:rsidP="00000000" w:rsidRDefault="00000000" w:rsidRPr="00000000" w14:paraId="00000011">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The single arrives with imagery that extends these questions of motherhood and care into a wider meditation on race, gender and their relationship to power. Directed by Lennert Madou, the visual reference at the centre of “GOOGOO GAGA” is the Flemish folklore figure </w:t>
      </w:r>
      <w:r w:rsidDel="00000000" w:rsidR="00000000" w:rsidRPr="00000000">
        <w:rPr>
          <w:rFonts w:ascii="Calibri" w:cs="Calibri" w:eastAsia="Calibri" w:hAnsi="Calibri"/>
          <w:b w:val="1"/>
          <w:bCs w:val="1"/>
          <w:rtl w:val="0"/>
        </w:rPr>
        <w:t xml:space="preserve">De Mammelokker</w:t>
      </w:r>
      <w:r w:rsidDel="00000000" w:rsidR="00000000" w:rsidRPr="00000000">
        <w:rPr>
          <w:rFonts w:ascii="Calibri" w:cs="Calibri" w:eastAsia="Calibri" w:hAnsi="Calibri"/>
          <w:rtl w:val="0"/>
        </w:rPr>
        <w:t xml:space="preserve">, a legend embedded in the folklore of the duo’s home city of Ghent and itself derived from the ancient Roman story of </w:t>
      </w:r>
      <w:r w:rsidDel="00000000" w:rsidR="00000000" w:rsidRPr="00000000">
        <w:rPr>
          <w:rFonts w:ascii="Calibri" w:cs="Calibri" w:eastAsia="Calibri" w:hAnsi="Calibri"/>
          <w:i w:val="1"/>
          <w:iCs w:val="1"/>
          <w:rtl w:val="0"/>
        </w:rPr>
        <w:t xml:space="preserve">Roman Charity</w:t>
      </w:r>
      <w:r w:rsidDel="00000000" w:rsidR="00000000" w:rsidRPr="00000000">
        <w:rPr>
          <w:rFonts w:ascii="Calibri" w:cs="Calibri" w:eastAsia="Calibri" w:hAnsi="Calibri"/>
          <w:rtl w:val="0"/>
        </w:rPr>
        <w:t xml:space="preserve">. In the tale, a prisoner condemned to starvation is kept alive when his daughter secretly breastfeeds him during her visits.</w:t>
      </w:r>
    </w:p>
    <w:p w:rsidR="00000000" w:rsidDel="00000000" w:rsidP="00000000" w:rsidRDefault="00000000" w:rsidRPr="00000000" w14:paraId="00000012">
      <w:pPr>
        <w:jc w:val="both"/>
        <w:rPr>
          <w:rFonts w:ascii="Calibri" w:cs="Calibri" w:eastAsia="Calibri" w:hAnsi="Calibri"/>
        </w:rPr>
      </w:pPr>
      <w:r w:rsidDel="00000000" w:rsidR="00000000" w:rsidRPr="00000000">
        <w:rPr>
          <w:rFonts w:ascii="Calibri" w:cs="Calibri" w:eastAsia="Calibri" w:hAnsi="Calibri"/>
          <w:rtl w:val="0"/>
        </w:rPr>
        <w:t xml:space="preserve">Le single s'accompagne d'une image qui prolonge ces questions de maternité et de soin vers une méditation plus large sur la race, le genre et leur rapport au pouvoir. Réalisée par Lennert Madou, l'image de référence au cœur de « GOOGOO GAGA » est la figure du folklore flamand De Mammelokker, une légende ancrée dans le folklore de Gand, ville natale du duo, elle-même issue de l'antique récit romain de la Charité romaine. Dans ce conte, un prisonnier condamné à mourir de faim reste en vie grâce à sa fille, qui l'allaite en secret lors de ses visites.</w:t>
      </w:r>
    </w:p>
    <w:p w:rsidR="00000000" w:rsidDel="00000000" w:rsidP="00000000" w:rsidRDefault="00000000" w:rsidRPr="00000000" w14:paraId="0000001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4">
      <w:pPr>
        <w:jc w:val="both"/>
        <w:rPr>
          <w:rFonts w:ascii="Calibri" w:cs="Calibri" w:eastAsia="Calibri" w:hAnsi="Calibri"/>
        </w:rPr>
      </w:pPr>
      <w:r w:rsidDel="00000000" w:rsidR="00000000" w:rsidRPr="00000000">
        <w:rPr>
          <w:rFonts w:ascii="Calibri" w:cs="Calibri" w:eastAsia="Calibri" w:hAnsi="Calibri"/>
          <w:rtl w:val="0"/>
        </w:rPr>
        <w:t xml:space="preserve">Dans ce visuel saisissant, Adigéry et Pupul réinventent ce tableau : une femme noire y nourrit un homme blanc âgé, transformant une image de bienveillance en quelque chose de plus confrontant. Dans leur interprétation, le soin n'est pas synonyme de soumission. L'image interroge plutôt qui est censé nourrir qui, quel travail soutient les structures de pouvoir existantes, et ce qu'il advient lorsque la personne traditionnellement sous-estimée au sein de cette structure devient la source même de la survie.</w:t>
      </w:r>
    </w:p>
    <w:p w:rsidR="00000000" w:rsidDel="00000000" w:rsidP="00000000" w:rsidRDefault="00000000" w:rsidRPr="00000000" w14:paraId="0000001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6">
      <w:pPr>
        <w:jc w:val="both"/>
        <w:rPr>
          <w:rFonts w:ascii="Calibri" w:cs="Calibri" w:eastAsia="Calibri" w:hAnsi="Calibri"/>
        </w:rPr>
      </w:pPr>
      <w:r w:rsidDel="00000000" w:rsidR="00000000" w:rsidRPr="00000000">
        <w:rPr>
          <w:rFonts w:ascii="Calibri" w:cs="Calibri" w:eastAsia="Calibri" w:hAnsi="Calibri"/>
          <w:rtl w:val="0"/>
        </w:rPr>
        <w:t xml:space="preserve">Cette image évoque aussi la façon dont l'expérience des femmes noires peut être minimisée ou mise en doute, y compris dans le domaine de la santé maternelle, où les inégalités de traitement et de résultats demeurent criantes. Ici, le corps nourricier n'est ni passif ni périphérique. Il occupe le centre du cadre, réaffirmant le soin comme une expression d'autonomie et de résilience.</w:t>
      </w:r>
    </w:p>
    <w:p w:rsidR="00000000" w:rsidDel="00000000" w:rsidP="00000000" w:rsidRDefault="00000000" w:rsidRPr="00000000" w14:paraId="00000017">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On “GOOGOO GAGA,” those enormous shifts are distilled into the repetitive, sometimes absurd details of everyday life with a baby. Domestic sounds and actions become their own vocabulary; the overwhelming and the mundane coexist. Time seems simultaneously precious and interminable.</w:t>
      </w:r>
    </w:p>
    <w:p w:rsidR="00000000" w:rsidDel="00000000" w:rsidP="00000000" w:rsidRDefault="00000000" w:rsidRPr="00000000" w14:paraId="00000018">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It is this contradiction that gives “GOOGOO GAGA” its charge: parenthood as joy without sentimentality, care without idealisation, and love existing alongside exhaustion, fear and doubt. In Adigéry &amp; Pupul’s hands, the smallest gestures become a way of asking much bigger questions about who cares, who is cared for, and the histories we carry while attempting to raise the next generation.</w:t>
      </w:r>
      <w:r w:rsidDel="00000000" w:rsidR="00000000" w:rsidRPr="00000000">
        <w:rPr>
          <w:rtl w:val="0"/>
        </w:rPr>
      </w:r>
    </w:p>
    <w:p w:rsidR="00000000" w:rsidDel="00000000" w:rsidP="00000000" w:rsidRDefault="00000000" w:rsidRPr="00000000" w14:paraId="00000019">
      <w:pPr>
        <w:jc w:val="both"/>
        <w:rPr>
          <w:rFonts w:ascii="Calibri" w:cs="Calibri" w:eastAsia="Calibri" w:hAnsi="Calibri"/>
        </w:rPr>
      </w:pPr>
      <w:r w:rsidDel="00000000" w:rsidR="00000000" w:rsidRPr="00000000">
        <w:rPr>
          <w:rFonts w:ascii="Calibri" w:cs="Calibri" w:eastAsia="Calibri" w:hAnsi="Calibri"/>
          <w:rtl w:val="0"/>
        </w:rPr>
        <w:t xml:space="preserve">Adigéry</w:t>
      </w:r>
      <w:r w:rsidDel="00000000" w:rsidR="00000000" w:rsidRPr="00000000">
        <w:rPr>
          <w:rFonts w:ascii="Calibri" w:cs="Calibri" w:eastAsia="Calibri" w:hAnsi="Calibri"/>
          <w:rtl w:val="0"/>
        </w:rPr>
        <w:t xml:space="preserve"> &amp; Pupul reviennent après quatre ans, aussi ambitieux que jamais, prêts à conquérir fans et critiques. « GOOGOO GAGA » marque leur première sortie depuis leur album de débuts en duo, Topical Dancer. Topical Dancer avait été un triomphe critique, salué notamment par Pitchfork, The Guardian, DIY, AnOther &amp; NME.</w:t>
      </w:r>
    </w:p>
    <w:p w:rsidR="00000000" w:rsidDel="00000000" w:rsidP="00000000" w:rsidRDefault="00000000" w:rsidRPr="00000000" w14:paraId="0000001A">
      <w:pPr>
        <w:spacing w:after="240" w:before="240" w:lineRule="auto"/>
        <w:jc w:val="center"/>
        <w:rPr>
          <w:rFonts w:ascii="Calibri" w:cs="Calibri" w:eastAsia="Calibri" w:hAnsi="Calibri"/>
          <w:b w:val="1"/>
          <w:bCs w:val="1"/>
        </w:rPr>
      </w:pPr>
      <w:r w:rsidDel="00000000" w:rsidR="00000000" w:rsidRPr="00000000">
        <w:rPr>
          <w:rFonts w:ascii="Calibri" w:cs="Calibri" w:eastAsia="Calibri" w:hAnsi="Calibri"/>
          <w:b w:val="1"/>
          <w:bCs w:val="1"/>
        </w:rPr>
        <w:drawing>
          <wp:inline distB="114300" distT="114300" distL="114300" distR="114300">
            <wp:extent cx="5227191" cy="5227191"/>
            <wp:effectExtent b="0" l="0" r="0" t="0"/>
            <wp:docPr id="1"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227191" cy="5227191"/>
                    </a:xfrm>
                    <a:prstGeom prst="rect"/>
                    <a:ln/>
                  </pic:spPr>
                </pic:pic>
              </a:graphicData>
            </a:graphic>
          </wp:inline>
        </w:drawing>
      </w:r>
      <w:r w:rsidDel="00000000" w:rsidR="00000000" w:rsidRPr="00000000">
        <w:rPr>
          <w:rFonts w:ascii="Calibri" w:cs="Calibri" w:eastAsia="Calibri" w:hAnsi="Calibri"/>
          <w:b w:val="1"/>
          <w:bCs w:val="1"/>
          <w:rtl w:val="0"/>
        </w:rPr>
        <w:br w:type="textWrapping"/>
        <w:t xml:space="preserve">(Credit: Paul Kooiker)</w:t>
      </w:r>
    </w:p>
    <w:p w:rsidR="00000000" w:rsidDel="00000000" w:rsidP="00000000" w:rsidRDefault="00000000" w:rsidRPr="00000000" w14:paraId="0000001B">
      <w:pPr>
        <w:spacing w:after="240" w:before="240" w:lineRule="auto"/>
        <w:jc w:val="both"/>
        <w:rPr>
          <w:rFonts w:ascii="Calibri" w:cs="Calibri" w:eastAsia="Calibri" w:hAnsi="Calibri"/>
        </w:rPr>
      </w:pPr>
      <w:r w:rsidDel="00000000" w:rsidR="00000000" w:rsidRPr="00000000">
        <w:rPr>
          <w:rFonts w:ascii="Calibri" w:cs="Calibri" w:eastAsia="Calibri" w:hAnsi="Calibri"/>
          <w:b w:val="1"/>
          <w:bCs w:val="1"/>
          <w:rtl w:val="0"/>
        </w:rPr>
        <w:br w:type="textWrapping"/>
        <w:t xml:space="preserve">“GOOGOO GAGA” Disponible le 16 septembre via Because music</w:t>
        <w:br w:type="textWrapping"/>
        <w:t xml:space="preserve">CONTACT: </w:t>
      </w:r>
      <w:hyperlink r:id="rId10">
        <w:r w:rsidDel="00000000" w:rsidR="00000000" w:rsidRPr="00000000">
          <w:rPr>
            <w:rFonts w:ascii="Calibri" w:cs="Calibri" w:eastAsia="Calibri" w:hAnsi="Calibri"/>
            <w:b w:val="1"/>
            <w:bCs w:val="1"/>
            <w:color w:val="1155cc"/>
            <w:u w:val="single"/>
            <w:rtl w:val="0"/>
          </w:rPr>
          <w:t xml:space="preserve">MORGAN@WIRED-PR.CO.UK</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MORGAN@WIRED-PR.CO.UK" TargetMode="Externa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hyperlink" Target="https://charlotteandbolis.lnk.to/Googoo_Gaga" TargetMode="External"/><Relationship Id="rId7" Type="http://schemas.openxmlformats.org/officeDocument/2006/relationships/hyperlink" Target="https://youtu.be/5MqJOKgEHiU"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